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B55C" w14:textId="77777777" w:rsidR="00192C39" w:rsidRDefault="00C52856">
      <w:pPr>
        <w:pStyle w:val="BodyText"/>
        <w:ind w:left="7308"/>
        <w:rPr>
          <w:rFonts w:ascii="Times New Roman"/>
          <w:b w:val="0"/>
        </w:rPr>
      </w:pPr>
      <w:r>
        <w:rPr>
          <w:rFonts w:ascii="Times New Roman"/>
          <w:b w:val="0"/>
          <w:noProof/>
        </w:rPr>
        <w:drawing>
          <wp:inline distT="0" distB="0" distL="0" distR="0" wp14:anchorId="10FD553B" wp14:editId="61BB76FF">
            <wp:extent cx="1807464" cy="7345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07464" cy="734568"/>
                    </a:xfrm>
                    <a:prstGeom prst="rect">
                      <a:avLst/>
                    </a:prstGeom>
                  </pic:spPr>
                </pic:pic>
              </a:graphicData>
            </a:graphic>
          </wp:inline>
        </w:drawing>
      </w:r>
    </w:p>
    <w:p w14:paraId="741481A1" w14:textId="77777777" w:rsidR="00192C39" w:rsidRDefault="00C52856">
      <w:pPr>
        <w:pStyle w:val="Title"/>
      </w:pPr>
      <w:r>
        <w:rPr>
          <w:spacing w:val="-5"/>
        </w:rPr>
        <w:t>JOB</w:t>
      </w:r>
    </w:p>
    <w:p w14:paraId="51BDFD51" w14:textId="5AEAA429" w:rsidR="00192C39" w:rsidRDefault="00C52856">
      <w:pPr>
        <w:pStyle w:val="BodyText"/>
        <w:tabs>
          <w:tab w:val="left" w:pos="5035"/>
        </w:tabs>
        <w:spacing w:before="2" w:after="5"/>
        <w:ind w:left="112"/>
      </w:pPr>
      <w:r>
        <w:rPr>
          <w:spacing w:val="-2"/>
          <w:sz w:val="36"/>
        </w:rPr>
        <w:t>OUTLINE</w:t>
      </w:r>
      <w:r>
        <w:rPr>
          <w:sz w:val="36"/>
        </w:rPr>
        <w:tab/>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1794"/>
        <w:gridCol w:w="3404"/>
        <w:gridCol w:w="1561"/>
      </w:tblGrid>
      <w:tr w:rsidR="00192C39" w14:paraId="0E07BAD4" w14:textId="77777777">
        <w:trPr>
          <w:trHeight w:val="551"/>
        </w:trPr>
        <w:tc>
          <w:tcPr>
            <w:tcW w:w="4928" w:type="dxa"/>
            <w:gridSpan w:val="2"/>
          </w:tcPr>
          <w:p w14:paraId="00ABE1C6" w14:textId="5F7D31F2" w:rsidR="00192C39" w:rsidRPr="00102D53" w:rsidRDefault="00C52856">
            <w:pPr>
              <w:pStyle w:val="TableParagraph"/>
              <w:spacing w:line="271" w:lineRule="exact"/>
              <w:ind w:left="110"/>
              <w:rPr>
                <w:b/>
                <w:sz w:val="24"/>
                <w:szCs w:val="24"/>
              </w:rPr>
            </w:pPr>
            <w:r w:rsidRPr="00102D53">
              <w:rPr>
                <w:b/>
                <w:sz w:val="24"/>
                <w:szCs w:val="24"/>
              </w:rPr>
              <w:t>Dept:</w:t>
            </w:r>
            <w:r w:rsidR="00102D53">
              <w:rPr>
                <w:b/>
                <w:spacing w:val="79"/>
                <w:w w:val="150"/>
                <w:sz w:val="24"/>
                <w:szCs w:val="24"/>
              </w:rPr>
              <w:t xml:space="preserve"> </w:t>
            </w:r>
            <w:r w:rsidRPr="00102D53">
              <w:rPr>
                <w:bCs/>
                <w:sz w:val="24"/>
                <w:szCs w:val="24"/>
              </w:rPr>
              <w:t>Environment and Property</w:t>
            </w:r>
          </w:p>
        </w:tc>
        <w:tc>
          <w:tcPr>
            <w:tcW w:w="4965" w:type="dxa"/>
            <w:gridSpan w:val="2"/>
          </w:tcPr>
          <w:p w14:paraId="5D011822" w14:textId="30370F24" w:rsidR="00192C39" w:rsidRPr="00102D53" w:rsidRDefault="00C52856">
            <w:pPr>
              <w:pStyle w:val="TableParagraph"/>
              <w:spacing w:line="271" w:lineRule="exact"/>
              <w:ind w:left="109"/>
              <w:rPr>
                <w:b/>
                <w:sz w:val="24"/>
                <w:szCs w:val="24"/>
              </w:rPr>
            </w:pPr>
            <w:r w:rsidRPr="00102D53">
              <w:rPr>
                <w:b/>
                <w:sz w:val="24"/>
                <w:szCs w:val="24"/>
              </w:rPr>
              <w:t>Section:</w:t>
            </w:r>
            <w:r w:rsidRPr="00102D53">
              <w:rPr>
                <w:b/>
                <w:spacing w:val="51"/>
                <w:sz w:val="24"/>
                <w:szCs w:val="24"/>
              </w:rPr>
              <w:t xml:space="preserve"> </w:t>
            </w:r>
            <w:r w:rsidR="00102D53">
              <w:rPr>
                <w:bCs/>
                <w:sz w:val="24"/>
                <w:szCs w:val="24"/>
              </w:rPr>
              <w:t>Investment Property</w:t>
            </w:r>
          </w:p>
        </w:tc>
      </w:tr>
      <w:tr w:rsidR="00192C39" w14:paraId="5321E2C4" w14:textId="77777777" w:rsidTr="00102D53">
        <w:trPr>
          <w:trHeight w:val="830"/>
        </w:trPr>
        <w:tc>
          <w:tcPr>
            <w:tcW w:w="3134" w:type="dxa"/>
          </w:tcPr>
          <w:p w14:paraId="14D5FA4A" w14:textId="54DBCADB" w:rsidR="00192C39" w:rsidRPr="00102D53" w:rsidRDefault="00C52856" w:rsidP="00102D53">
            <w:pPr>
              <w:pStyle w:val="TableParagraph"/>
              <w:spacing w:line="225" w:lineRule="exact"/>
              <w:ind w:left="110"/>
              <w:rPr>
                <w:b/>
                <w:sz w:val="24"/>
                <w:szCs w:val="24"/>
              </w:rPr>
            </w:pPr>
            <w:r w:rsidRPr="00102D53">
              <w:rPr>
                <w:b/>
                <w:sz w:val="24"/>
                <w:szCs w:val="24"/>
              </w:rPr>
              <w:t>Post</w:t>
            </w:r>
            <w:r w:rsidRPr="00102D53">
              <w:rPr>
                <w:b/>
                <w:spacing w:val="-7"/>
                <w:sz w:val="24"/>
                <w:szCs w:val="24"/>
              </w:rPr>
              <w:t xml:space="preserve"> </w:t>
            </w:r>
            <w:r w:rsidRPr="00102D53">
              <w:rPr>
                <w:b/>
                <w:spacing w:val="-5"/>
                <w:sz w:val="24"/>
                <w:szCs w:val="24"/>
              </w:rPr>
              <w:t>No:</w:t>
            </w:r>
            <w:r w:rsidR="00102D53">
              <w:rPr>
                <w:b/>
                <w:sz w:val="24"/>
                <w:szCs w:val="24"/>
              </w:rPr>
              <w:t xml:space="preserve"> </w:t>
            </w:r>
            <w:r w:rsidRPr="00102D53">
              <w:rPr>
                <w:sz w:val="24"/>
                <w:szCs w:val="24"/>
              </w:rPr>
              <w:t>EPIP01005</w:t>
            </w:r>
          </w:p>
        </w:tc>
        <w:tc>
          <w:tcPr>
            <w:tcW w:w="5198" w:type="dxa"/>
            <w:gridSpan w:val="2"/>
          </w:tcPr>
          <w:p w14:paraId="58C6AAA4" w14:textId="5E94BF08" w:rsidR="00192C39" w:rsidRPr="00102D53" w:rsidRDefault="00C52856" w:rsidP="00102D53">
            <w:pPr>
              <w:pStyle w:val="TableParagraph"/>
              <w:spacing w:line="225" w:lineRule="exact"/>
              <w:ind w:left="110"/>
              <w:rPr>
                <w:b/>
                <w:sz w:val="24"/>
                <w:szCs w:val="24"/>
              </w:rPr>
            </w:pPr>
            <w:r w:rsidRPr="00102D53">
              <w:rPr>
                <w:b/>
                <w:spacing w:val="-2"/>
                <w:sz w:val="24"/>
                <w:szCs w:val="24"/>
              </w:rPr>
              <w:t>Designation:</w:t>
            </w:r>
            <w:r w:rsidR="00102D53">
              <w:rPr>
                <w:b/>
                <w:sz w:val="24"/>
                <w:szCs w:val="24"/>
              </w:rPr>
              <w:t xml:space="preserve"> </w:t>
            </w:r>
            <w:r w:rsidRPr="00102D53">
              <w:rPr>
                <w:bCs/>
                <w:sz w:val="24"/>
                <w:szCs w:val="24"/>
              </w:rPr>
              <w:t>Estates Surveyor</w:t>
            </w:r>
            <w:r w:rsidRPr="00102D53">
              <w:rPr>
                <w:b/>
                <w:sz w:val="24"/>
                <w:szCs w:val="24"/>
              </w:rPr>
              <w:t xml:space="preserve"> </w:t>
            </w:r>
          </w:p>
        </w:tc>
        <w:tc>
          <w:tcPr>
            <w:tcW w:w="1561" w:type="dxa"/>
          </w:tcPr>
          <w:p w14:paraId="588D3D34" w14:textId="1E734F0A" w:rsidR="00192C39" w:rsidRPr="00102D53" w:rsidRDefault="00C52856">
            <w:pPr>
              <w:pStyle w:val="TableParagraph"/>
              <w:spacing w:line="271" w:lineRule="exact"/>
              <w:ind w:left="106"/>
              <w:rPr>
                <w:bCs/>
                <w:sz w:val="24"/>
                <w:szCs w:val="24"/>
              </w:rPr>
            </w:pPr>
            <w:r w:rsidRPr="00102D53">
              <w:rPr>
                <w:b/>
                <w:sz w:val="24"/>
                <w:szCs w:val="24"/>
              </w:rPr>
              <w:t>Grade</w:t>
            </w:r>
            <w:r w:rsidR="00102D53">
              <w:rPr>
                <w:b/>
                <w:sz w:val="24"/>
                <w:szCs w:val="24"/>
              </w:rPr>
              <w:t>:</w:t>
            </w:r>
            <w:r w:rsidRPr="00102D53">
              <w:rPr>
                <w:b/>
                <w:spacing w:val="49"/>
                <w:sz w:val="24"/>
                <w:szCs w:val="24"/>
              </w:rPr>
              <w:t xml:space="preserve"> </w:t>
            </w:r>
            <w:r w:rsidRPr="00102D53">
              <w:rPr>
                <w:bCs/>
                <w:spacing w:val="-5"/>
                <w:sz w:val="24"/>
                <w:szCs w:val="24"/>
              </w:rPr>
              <w:t>11</w:t>
            </w:r>
          </w:p>
          <w:p w14:paraId="3D71D5BF" w14:textId="77777777" w:rsidR="00192C39" w:rsidRPr="00102D53" w:rsidRDefault="00C52856">
            <w:pPr>
              <w:pStyle w:val="TableParagraph"/>
              <w:ind w:left="106"/>
              <w:rPr>
                <w:b/>
                <w:sz w:val="24"/>
                <w:szCs w:val="24"/>
              </w:rPr>
            </w:pPr>
            <w:r w:rsidRPr="00102D53">
              <w:rPr>
                <w:bCs/>
                <w:sz w:val="24"/>
                <w:szCs w:val="24"/>
              </w:rPr>
              <w:t>SCP</w:t>
            </w:r>
            <w:r w:rsidRPr="00102D53">
              <w:rPr>
                <w:bCs/>
                <w:spacing w:val="3"/>
                <w:sz w:val="24"/>
                <w:szCs w:val="24"/>
              </w:rPr>
              <w:t xml:space="preserve"> </w:t>
            </w:r>
            <w:r w:rsidRPr="00102D53">
              <w:rPr>
                <w:bCs/>
                <w:sz w:val="24"/>
                <w:szCs w:val="24"/>
              </w:rPr>
              <w:t>31-</w:t>
            </w:r>
            <w:r w:rsidRPr="00102D53">
              <w:rPr>
                <w:bCs/>
                <w:spacing w:val="-5"/>
                <w:sz w:val="24"/>
                <w:szCs w:val="24"/>
              </w:rPr>
              <w:t>33</w:t>
            </w:r>
          </w:p>
        </w:tc>
      </w:tr>
    </w:tbl>
    <w:p w14:paraId="560565FF" w14:textId="77777777" w:rsidR="00192C39" w:rsidRDefault="00192C39">
      <w:pPr>
        <w:rPr>
          <w:b/>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0"/>
      </w:tblGrid>
      <w:tr w:rsidR="00192C39" w14:paraId="7AEB601B" w14:textId="77777777">
        <w:trPr>
          <w:trHeight w:val="1655"/>
        </w:trPr>
        <w:tc>
          <w:tcPr>
            <w:tcW w:w="9890" w:type="dxa"/>
          </w:tcPr>
          <w:p w14:paraId="2826DDF3" w14:textId="77777777" w:rsidR="00192C39" w:rsidRDefault="00C52856">
            <w:pPr>
              <w:pStyle w:val="TableParagraph"/>
              <w:spacing w:line="271" w:lineRule="exact"/>
              <w:ind w:left="110"/>
              <w:rPr>
                <w:b/>
                <w:sz w:val="24"/>
              </w:rPr>
            </w:pPr>
            <w:r>
              <w:rPr>
                <w:b/>
                <w:sz w:val="24"/>
              </w:rPr>
              <w:t xml:space="preserve">Purpose of </w:t>
            </w:r>
            <w:r>
              <w:rPr>
                <w:b/>
                <w:spacing w:val="-4"/>
                <w:sz w:val="24"/>
              </w:rPr>
              <w:t>Job:</w:t>
            </w:r>
          </w:p>
          <w:p w14:paraId="761D85D8" w14:textId="77777777" w:rsidR="00192C39" w:rsidRDefault="00192C39">
            <w:pPr>
              <w:pStyle w:val="TableParagraph"/>
              <w:rPr>
                <w:b/>
                <w:sz w:val="24"/>
              </w:rPr>
            </w:pPr>
          </w:p>
          <w:p w14:paraId="344494E5" w14:textId="7636B263" w:rsidR="00192C39" w:rsidRDefault="00662992" w:rsidP="00662992">
            <w:pPr>
              <w:pStyle w:val="TableParagraph"/>
              <w:rPr>
                <w:sz w:val="24"/>
              </w:rPr>
            </w:pPr>
            <w:r w:rsidRPr="00555958">
              <w:rPr>
                <w:sz w:val="24"/>
              </w:rPr>
              <w:t xml:space="preserve">To provide a wide range </w:t>
            </w:r>
            <w:r w:rsidR="00555958" w:rsidRPr="00555958">
              <w:rPr>
                <w:sz w:val="24"/>
              </w:rPr>
              <w:t xml:space="preserve">of </w:t>
            </w:r>
            <w:r w:rsidRPr="00555958">
              <w:rPr>
                <w:sz w:val="24"/>
              </w:rPr>
              <w:t xml:space="preserve">support </w:t>
            </w:r>
            <w:r w:rsidR="00555958" w:rsidRPr="00555958">
              <w:rPr>
                <w:sz w:val="24"/>
              </w:rPr>
              <w:t xml:space="preserve">and assistance to </w:t>
            </w:r>
            <w:r w:rsidRPr="00555958">
              <w:rPr>
                <w:sz w:val="24"/>
              </w:rPr>
              <w:t>effectively &amp; proactively manag</w:t>
            </w:r>
            <w:r w:rsidR="00555958" w:rsidRPr="00555958">
              <w:rPr>
                <w:sz w:val="24"/>
              </w:rPr>
              <w:t xml:space="preserve">e </w:t>
            </w:r>
            <w:r w:rsidRPr="00555958">
              <w:rPr>
                <w:sz w:val="24"/>
              </w:rPr>
              <w:t>the Council’s commercial land &amp; property</w:t>
            </w:r>
            <w:r w:rsidR="00555958" w:rsidRPr="00555958">
              <w:rPr>
                <w:sz w:val="24"/>
              </w:rPr>
              <w:t xml:space="preserve"> </w:t>
            </w:r>
            <w:r w:rsidR="00C52856" w:rsidRPr="00555958">
              <w:rPr>
                <w:sz w:val="24"/>
              </w:rPr>
              <w:t xml:space="preserve">and </w:t>
            </w:r>
            <w:r w:rsidR="00555958">
              <w:rPr>
                <w:sz w:val="24"/>
              </w:rPr>
              <w:t>undertake asset valuations commensurate with the role.</w:t>
            </w:r>
          </w:p>
          <w:p w14:paraId="65A4B61D" w14:textId="4610E5BD" w:rsidR="00662992" w:rsidRDefault="00662992" w:rsidP="00662992">
            <w:pPr>
              <w:pStyle w:val="TableParagraph"/>
              <w:rPr>
                <w:sz w:val="24"/>
              </w:rPr>
            </w:pPr>
          </w:p>
        </w:tc>
      </w:tr>
      <w:tr w:rsidR="00192C39" w14:paraId="7D192836" w14:textId="77777777" w:rsidTr="00102D53">
        <w:trPr>
          <w:trHeight w:val="5661"/>
        </w:trPr>
        <w:tc>
          <w:tcPr>
            <w:tcW w:w="9890" w:type="dxa"/>
          </w:tcPr>
          <w:p w14:paraId="32D2E964" w14:textId="77777777" w:rsidR="00192C39" w:rsidRDefault="00C52856">
            <w:pPr>
              <w:pStyle w:val="TableParagraph"/>
              <w:spacing w:line="271" w:lineRule="exact"/>
              <w:ind w:left="110"/>
              <w:rPr>
                <w:b/>
                <w:sz w:val="24"/>
              </w:rPr>
            </w:pPr>
            <w:r>
              <w:rPr>
                <w:b/>
                <w:sz w:val="24"/>
              </w:rPr>
              <w:t xml:space="preserve">Main </w:t>
            </w:r>
            <w:r>
              <w:rPr>
                <w:b/>
                <w:spacing w:val="-2"/>
                <w:sz w:val="24"/>
              </w:rPr>
              <w:t>Duties/Responsibilities:</w:t>
            </w:r>
          </w:p>
          <w:p w14:paraId="60506549" w14:textId="77777777" w:rsidR="00192C39" w:rsidRDefault="00192C39">
            <w:pPr>
              <w:pStyle w:val="TableParagraph"/>
              <w:rPr>
                <w:b/>
                <w:sz w:val="24"/>
              </w:rPr>
            </w:pPr>
          </w:p>
          <w:p w14:paraId="074A980F" w14:textId="0B43063C" w:rsidR="00192C39" w:rsidRDefault="00C52856">
            <w:pPr>
              <w:pStyle w:val="TableParagraph"/>
              <w:numPr>
                <w:ilvl w:val="0"/>
                <w:numId w:val="1"/>
              </w:numPr>
              <w:tabs>
                <w:tab w:val="left" w:pos="650"/>
                <w:tab w:val="left" w:pos="651"/>
              </w:tabs>
              <w:ind w:hanging="361"/>
              <w:rPr>
                <w:sz w:val="24"/>
              </w:rPr>
            </w:pPr>
            <w:r>
              <w:rPr>
                <w:sz w:val="24"/>
              </w:rPr>
              <w:t>To</w:t>
            </w:r>
            <w:r>
              <w:rPr>
                <w:spacing w:val="-3"/>
                <w:sz w:val="24"/>
              </w:rPr>
              <w:t xml:space="preserve"> </w:t>
            </w:r>
            <w:r>
              <w:rPr>
                <w:sz w:val="24"/>
              </w:rPr>
              <w:t>undertake</w:t>
            </w:r>
            <w:r>
              <w:rPr>
                <w:spacing w:val="1"/>
                <w:sz w:val="24"/>
              </w:rPr>
              <w:t xml:space="preserve"> </w:t>
            </w:r>
            <w:r>
              <w:rPr>
                <w:sz w:val="24"/>
              </w:rPr>
              <w:t>the</w:t>
            </w:r>
            <w:r>
              <w:rPr>
                <w:spacing w:val="-1"/>
                <w:sz w:val="24"/>
              </w:rPr>
              <w:t xml:space="preserve"> </w:t>
            </w:r>
            <w:r>
              <w:rPr>
                <w:sz w:val="24"/>
              </w:rPr>
              <w:t>management</w:t>
            </w:r>
            <w:r>
              <w:rPr>
                <w:spacing w:val="-1"/>
                <w:sz w:val="24"/>
              </w:rPr>
              <w:t xml:space="preserve"> </w:t>
            </w:r>
            <w:r>
              <w:rPr>
                <w:sz w:val="24"/>
              </w:rPr>
              <w:t>of the</w:t>
            </w:r>
            <w:r>
              <w:rPr>
                <w:spacing w:val="1"/>
                <w:sz w:val="24"/>
              </w:rPr>
              <w:t xml:space="preserve"> </w:t>
            </w:r>
            <w:r>
              <w:rPr>
                <w:sz w:val="24"/>
              </w:rPr>
              <w:t>Council’s</w:t>
            </w:r>
            <w:r>
              <w:rPr>
                <w:spacing w:val="-3"/>
                <w:sz w:val="24"/>
              </w:rPr>
              <w:t xml:space="preserve"> </w:t>
            </w:r>
            <w:r>
              <w:rPr>
                <w:sz w:val="24"/>
              </w:rPr>
              <w:t>property</w:t>
            </w:r>
            <w:r>
              <w:rPr>
                <w:spacing w:val="-3"/>
                <w:sz w:val="24"/>
              </w:rPr>
              <w:t xml:space="preserve"> </w:t>
            </w:r>
            <w:r w:rsidR="000A7DF5">
              <w:rPr>
                <w:spacing w:val="-2"/>
                <w:sz w:val="24"/>
              </w:rPr>
              <w:t>and land.</w:t>
            </w:r>
          </w:p>
          <w:p w14:paraId="53B83890" w14:textId="77777777" w:rsidR="00192C39" w:rsidRDefault="00192C39">
            <w:pPr>
              <w:pStyle w:val="TableParagraph"/>
              <w:spacing w:before="10"/>
              <w:rPr>
                <w:b/>
                <w:sz w:val="23"/>
              </w:rPr>
            </w:pPr>
          </w:p>
          <w:p w14:paraId="52BA445E" w14:textId="3F2CDC6F" w:rsidR="003B3211" w:rsidRDefault="00380425" w:rsidP="00380425">
            <w:pPr>
              <w:pStyle w:val="ListParagraph"/>
              <w:numPr>
                <w:ilvl w:val="0"/>
                <w:numId w:val="1"/>
              </w:numPr>
              <w:rPr>
                <w:sz w:val="24"/>
              </w:rPr>
            </w:pPr>
            <w:r w:rsidRPr="00380425">
              <w:rPr>
                <w:sz w:val="24"/>
              </w:rPr>
              <w:t>To negotiate rent reviews and lease renewals with tenants or their appointed agent, managing any rent review disputes and agreeing any variations to the lease and terms for surrenders.</w:t>
            </w:r>
          </w:p>
          <w:p w14:paraId="371157FB" w14:textId="77777777" w:rsidR="00380425" w:rsidRPr="00380425" w:rsidRDefault="00380425" w:rsidP="00380425">
            <w:pPr>
              <w:rPr>
                <w:sz w:val="24"/>
              </w:rPr>
            </w:pPr>
          </w:p>
          <w:p w14:paraId="73C866F7" w14:textId="7ECA7826" w:rsidR="003B3211" w:rsidRDefault="003B3211" w:rsidP="003B3211">
            <w:pPr>
              <w:pStyle w:val="ListParagraph"/>
              <w:numPr>
                <w:ilvl w:val="0"/>
                <w:numId w:val="1"/>
              </w:numPr>
              <w:rPr>
                <w:sz w:val="24"/>
              </w:rPr>
            </w:pPr>
            <w:r w:rsidRPr="003B3211">
              <w:rPr>
                <w:sz w:val="24"/>
              </w:rPr>
              <w:t xml:space="preserve">To negotiate acquisitions and disposals by way of lease, </w:t>
            </w:r>
            <w:proofErr w:type="spellStart"/>
            <w:r w:rsidRPr="003B3211">
              <w:rPr>
                <w:sz w:val="24"/>
              </w:rPr>
              <w:t>licences</w:t>
            </w:r>
            <w:proofErr w:type="spellEnd"/>
            <w:r w:rsidRPr="003B3211">
              <w:rPr>
                <w:sz w:val="24"/>
              </w:rPr>
              <w:t xml:space="preserve"> and sale with individuals or their agents, perform full due diligence and provide formal instructions to solicitors and ensuring the legal agreement reflects the agreed Heads of Terms.</w:t>
            </w:r>
          </w:p>
          <w:p w14:paraId="387054F3" w14:textId="77777777" w:rsidR="003B3211" w:rsidRPr="003B3211" w:rsidRDefault="003B3211" w:rsidP="003B3211">
            <w:pPr>
              <w:rPr>
                <w:sz w:val="24"/>
              </w:rPr>
            </w:pPr>
          </w:p>
          <w:p w14:paraId="06785DFC" w14:textId="153CFEBF" w:rsidR="003B3211" w:rsidRDefault="003B3211" w:rsidP="003B3211">
            <w:pPr>
              <w:pStyle w:val="ListParagraph"/>
              <w:numPr>
                <w:ilvl w:val="0"/>
                <w:numId w:val="1"/>
              </w:numPr>
              <w:rPr>
                <w:sz w:val="24"/>
              </w:rPr>
            </w:pPr>
            <w:r w:rsidRPr="003B3211">
              <w:rPr>
                <w:sz w:val="24"/>
              </w:rPr>
              <w:t xml:space="preserve">To ensure at lease surrender and lease expiry that all matters are </w:t>
            </w:r>
            <w:proofErr w:type="gramStart"/>
            <w:r w:rsidRPr="003B3211">
              <w:rPr>
                <w:sz w:val="24"/>
              </w:rPr>
              <w:t>documented</w:t>
            </w:r>
            <w:proofErr w:type="gramEnd"/>
            <w:r w:rsidRPr="003B3211">
              <w:rPr>
                <w:sz w:val="24"/>
              </w:rPr>
              <w:t xml:space="preserve"> and dilapidations claims and negotiations undertaken where appropriate. Making necessary arrangements for the transfer of keys, return of rent deposits, informing utilities and taking meter readings etc.</w:t>
            </w:r>
          </w:p>
          <w:p w14:paraId="526440D8" w14:textId="77777777" w:rsidR="003B3211" w:rsidRPr="003B3211" w:rsidRDefault="003B3211" w:rsidP="003B3211">
            <w:pPr>
              <w:pStyle w:val="ListParagraph"/>
              <w:rPr>
                <w:sz w:val="24"/>
              </w:rPr>
            </w:pPr>
          </w:p>
          <w:p w14:paraId="2CA2710B" w14:textId="77777777" w:rsidR="003B3211" w:rsidRDefault="003B3211" w:rsidP="003B3211">
            <w:pPr>
              <w:pStyle w:val="ListParagraph"/>
              <w:numPr>
                <w:ilvl w:val="0"/>
                <w:numId w:val="1"/>
              </w:numPr>
              <w:rPr>
                <w:sz w:val="24"/>
              </w:rPr>
            </w:pPr>
            <w:r w:rsidRPr="003B3211">
              <w:rPr>
                <w:sz w:val="24"/>
              </w:rPr>
              <w:t xml:space="preserve">To effect formal marketing properties or land to let or sell, preparing heads of terms, negotiating and agreeing terms for new leases and lease renewals, appointing external marketing agents as appropriate. </w:t>
            </w:r>
          </w:p>
          <w:p w14:paraId="6ED78737" w14:textId="77777777" w:rsidR="003B3211" w:rsidRPr="003B3211" w:rsidRDefault="003B3211" w:rsidP="003B3211">
            <w:pPr>
              <w:pStyle w:val="ListParagraph"/>
              <w:rPr>
                <w:sz w:val="24"/>
              </w:rPr>
            </w:pPr>
          </w:p>
          <w:p w14:paraId="60059CFB" w14:textId="63F79881" w:rsidR="003B3211" w:rsidRPr="003B3211" w:rsidRDefault="003B3211" w:rsidP="003B3211">
            <w:pPr>
              <w:pStyle w:val="ListParagraph"/>
              <w:numPr>
                <w:ilvl w:val="0"/>
                <w:numId w:val="1"/>
              </w:numPr>
              <w:rPr>
                <w:sz w:val="24"/>
              </w:rPr>
            </w:pPr>
            <w:r w:rsidRPr="003B3211">
              <w:rPr>
                <w:sz w:val="24"/>
              </w:rPr>
              <w:t xml:space="preserve">Instructing the conveyancing team in Legal Services on new leases, renewals and sales of properties through to completion, in line with the Council’s Land </w:t>
            </w:r>
            <w:r>
              <w:rPr>
                <w:sz w:val="24"/>
              </w:rPr>
              <w:t>Disposal Rules</w:t>
            </w:r>
            <w:r w:rsidRPr="003B3211">
              <w:rPr>
                <w:sz w:val="24"/>
              </w:rPr>
              <w:t xml:space="preserve"> and relevant legislation.</w:t>
            </w:r>
          </w:p>
          <w:p w14:paraId="1701820F" w14:textId="77777777" w:rsidR="00192C39" w:rsidRDefault="00192C39">
            <w:pPr>
              <w:pStyle w:val="TableParagraph"/>
              <w:spacing w:before="7"/>
              <w:rPr>
                <w:b/>
                <w:sz w:val="23"/>
              </w:rPr>
            </w:pPr>
          </w:p>
          <w:p w14:paraId="2FE73F22" w14:textId="53EA9DEB" w:rsidR="00192C39" w:rsidRPr="00555958" w:rsidRDefault="003B3211">
            <w:pPr>
              <w:pStyle w:val="TableParagraph"/>
              <w:numPr>
                <w:ilvl w:val="0"/>
                <w:numId w:val="1"/>
              </w:numPr>
              <w:tabs>
                <w:tab w:val="left" w:pos="650"/>
                <w:tab w:val="left" w:pos="651"/>
              </w:tabs>
              <w:spacing w:before="1"/>
              <w:ind w:hanging="361"/>
              <w:rPr>
                <w:sz w:val="24"/>
              </w:rPr>
            </w:pPr>
            <w:r w:rsidRPr="003B3211">
              <w:rPr>
                <w:sz w:val="24"/>
              </w:rPr>
              <w:t>To monitor income receipts &amp; rent arrears, liaising with the Finance team to ensure delivery against the income targets and providing the information required for budgeting purposes on likely rent increases, impact on vacant properties e.g. general rates liability, insurance etc.</w:t>
            </w:r>
          </w:p>
          <w:p w14:paraId="296A8AEB" w14:textId="77777777" w:rsidR="00555958" w:rsidRDefault="00555958" w:rsidP="00555958">
            <w:pPr>
              <w:pStyle w:val="ListParagraph"/>
              <w:rPr>
                <w:sz w:val="24"/>
              </w:rPr>
            </w:pPr>
          </w:p>
          <w:p w14:paraId="5D949D7C" w14:textId="289508DD" w:rsidR="00555958" w:rsidRDefault="00555958">
            <w:pPr>
              <w:pStyle w:val="TableParagraph"/>
              <w:numPr>
                <w:ilvl w:val="0"/>
                <w:numId w:val="1"/>
              </w:numPr>
              <w:tabs>
                <w:tab w:val="left" w:pos="650"/>
                <w:tab w:val="left" w:pos="651"/>
              </w:tabs>
              <w:spacing w:before="1"/>
              <w:ind w:hanging="361"/>
              <w:rPr>
                <w:sz w:val="24"/>
              </w:rPr>
            </w:pPr>
            <w:r>
              <w:rPr>
                <w:sz w:val="24"/>
              </w:rPr>
              <w:t xml:space="preserve">To undertake and support colleagues on a variety of asset valuations as part of the annual audit of council assets. </w:t>
            </w:r>
          </w:p>
          <w:p w14:paraId="2480D6D9" w14:textId="77777777" w:rsidR="003B3211" w:rsidRDefault="003B3211" w:rsidP="003B3211">
            <w:pPr>
              <w:pStyle w:val="ListParagraph"/>
              <w:rPr>
                <w:sz w:val="24"/>
              </w:rPr>
            </w:pPr>
          </w:p>
          <w:p w14:paraId="25916581" w14:textId="162F7473" w:rsidR="00192C39" w:rsidRPr="003B3211" w:rsidRDefault="003B3211" w:rsidP="00934AC4">
            <w:pPr>
              <w:pStyle w:val="TableParagraph"/>
              <w:numPr>
                <w:ilvl w:val="0"/>
                <w:numId w:val="1"/>
              </w:numPr>
              <w:tabs>
                <w:tab w:val="left" w:pos="650"/>
                <w:tab w:val="left" w:pos="651"/>
              </w:tabs>
              <w:spacing w:before="3"/>
              <w:ind w:hanging="361"/>
              <w:rPr>
                <w:b/>
                <w:sz w:val="24"/>
              </w:rPr>
            </w:pPr>
            <w:r w:rsidRPr="003B3211">
              <w:rPr>
                <w:sz w:val="24"/>
              </w:rPr>
              <w:t>To prepare written reports for Member approval</w:t>
            </w:r>
            <w:r>
              <w:rPr>
                <w:sz w:val="24"/>
              </w:rPr>
              <w:t>,</w:t>
            </w:r>
            <w:r w:rsidRPr="003B3211">
              <w:rPr>
                <w:sz w:val="24"/>
              </w:rPr>
              <w:t xml:space="preserve"> as and when required.  </w:t>
            </w:r>
          </w:p>
          <w:p w14:paraId="1ED3823F" w14:textId="77777777" w:rsidR="003B3211" w:rsidRPr="003B3211" w:rsidRDefault="003B3211" w:rsidP="003B3211">
            <w:pPr>
              <w:pStyle w:val="TableParagraph"/>
              <w:tabs>
                <w:tab w:val="left" w:pos="650"/>
                <w:tab w:val="left" w:pos="651"/>
              </w:tabs>
              <w:spacing w:before="3"/>
              <w:rPr>
                <w:b/>
                <w:sz w:val="24"/>
              </w:rPr>
            </w:pPr>
          </w:p>
          <w:p w14:paraId="55EFC5ED" w14:textId="35931AD2" w:rsidR="00192C39" w:rsidRDefault="00C52856">
            <w:pPr>
              <w:pStyle w:val="TableParagraph"/>
              <w:numPr>
                <w:ilvl w:val="0"/>
                <w:numId w:val="1"/>
              </w:numPr>
              <w:tabs>
                <w:tab w:val="left" w:pos="650"/>
                <w:tab w:val="left" w:pos="651"/>
              </w:tabs>
              <w:spacing w:before="1" w:line="235" w:lineRule="auto"/>
              <w:ind w:right="809"/>
              <w:rPr>
                <w:sz w:val="24"/>
              </w:rPr>
            </w:pPr>
            <w:r>
              <w:rPr>
                <w:sz w:val="24"/>
              </w:rPr>
              <w:t>To</w:t>
            </w:r>
            <w:r>
              <w:rPr>
                <w:spacing w:val="-5"/>
                <w:sz w:val="24"/>
              </w:rPr>
              <w:t xml:space="preserve"> </w:t>
            </w:r>
            <w:r>
              <w:rPr>
                <w:sz w:val="24"/>
              </w:rPr>
              <w:t>attend</w:t>
            </w:r>
            <w:r>
              <w:rPr>
                <w:spacing w:val="-5"/>
                <w:sz w:val="24"/>
              </w:rPr>
              <w:t xml:space="preserve"> </w:t>
            </w:r>
            <w:r>
              <w:rPr>
                <w:sz w:val="24"/>
              </w:rPr>
              <w:t>meetings</w:t>
            </w:r>
            <w:r>
              <w:rPr>
                <w:spacing w:val="-3"/>
                <w:sz w:val="24"/>
              </w:rPr>
              <w:t xml:space="preserve"> </w:t>
            </w:r>
            <w:r>
              <w:rPr>
                <w:sz w:val="24"/>
              </w:rPr>
              <w:t>as</w:t>
            </w:r>
            <w:r>
              <w:rPr>
                <w:spacing w:val="-5"/>
                <w:sz w:val="24"/>
              </w:rPr>
              <w:t xml:space="preserve"> </w:t>
            </w:r>
            <w:r>
              <w:rPr>
                <w:sz w:val="24"/>
              </w:rPr>
              <w:t>required,</w:t>
            </w:r>
            <w:r>
              <w:rPr>
                <w:spacing w:val="-1"/>
                <w:sz w:val="24"/>
              </w:rPr>
              <w:t xml:space="preserve"> </w:t>
            </w:r>
            <w:r>
              <w:rPr>
                <w:sz w:val="24"/>
              </w:rPr>
              <w:t>including</w:t>
            </w:r>
            <w:r>
              <w:rPr>
                <w:spacing w:val="-5"/>
                <w:sz w:val="24"/>
              </w:rPr>
              <w:t xml:space="preserve"> </w:t>
            </w:r>
            <w:r>
              <w:rPr>
                <w:sz w:val="24"/>
              </w:rPr>
              <w:t>close</w:t>
            </w:r>
            <w:r>
              <w:rPr>
                <w:spacing w:val="-1"/>
                <w:sz w:val="24"/>
              </w:rPr>
              <w:t xml:space="preserve"> </w:t>
            </w:r>
            <w:r>
              <w:rPr>
                <w:sz w:val="24"/>
              </w:rPr>
              <w:t>liaison with</w:t>
            </w:r>
            <w:r>
              <w:rPr>
                <w:spacing w:val="-3"/>
                <w:sz w:val="24"/>
              </w:rPr>
              <w:t xml:space="preserve"> </w:t>
            </w:r>
            <w:r>
              <w:rPr>
                <w:sz w:val="24"/>
              </w:rPr>
              <w:t>all</w:t>
            </w:r>
            <w:r>
              <w:rPr>
                <w:spacing w:val="-3"/>
                <w:sz w:val="24"/>
              </w:rPr>
              <w:t xml:space="preserve"> </w:t>
            </w:r>
            <w:r>
              <w:rPr>
                <w:sz w:val="24"/>
              </w:rPr>
              <w:t>tenants</w:t>
            </w:r>
            <w:r>
              <w:rPr>
                <w:spacing w:val="-3"/>
                <w:sz w:val="24"/>
              </w:rPr>
              <w:t xml:space="preserve"> </w:t>
            </w:r>
            <w:r>
              <w:rPr>
                <w:sz w:val="24"/>
              </w:rPr>
              <w:t>and</w:t>
            </w:r>
            <w:r>
              <w:rPr>
                <w:spacing w:val="-5"/>
                <w:sz w:val="24"/>
              </w:rPr>
              <w:t xml:space="preserve"> </w:t>
            </w:r>
            <w:r>
              <w:rPr>
                <w:sz w:val="24"/>
              </w:rPr>
              <w:t>staff working for other departments of the Council.</w:t>
            </w:r>
          </w:p>
          <w:p w14:paraId="1FCC6EDE" w14:textId="77777777" w:rsidR="003B3211" w:rsidRDefault="003B3211" w:rsidP="003B3211">
            <w:pPr>
              <w:pStyle w:val="ListParagraph"/>
              <w:rPr>
                <w:sz w:val="24"/>
              </w:rPr>
            </w:pPr>
          </w:p>
          <w:p w14:paraId="6778C939" w14:textId="28CE101C" w:rsidR="003B3211" w:rsidRDefault="003B3211">
            <w:pPr>
              <w:pStyle w:val="TableParagraph"/>
              <w:numPr>
                <w:ilvl w:val="0"/>
                <w:numId w:val="1"/>
              </w:numPr>
              <w:tabs>
                <w:tab w:val="left" w:pos="650"/>
                <w:tab w:val="left" w:pos="651"/>
              </w:tabs>
              <w:spacing w:before="1" w:line="235" w:lineRule="auto"/>
              <w:ind w:right="809"/>
              <w:rPr>
                <w:sz w:val="24"/>
              </w:rPr>
            </w:pPr>
            <w:r w:rsidRPr="003B3211">
              <w:rPr>
                <w:sz w:val="24"/>
              </w:rPr>
              <w:lastRenderedPageBreak/>
              <w:t xml:space="preserve">To arrange repair and maintenance works that are the Council’s responsibility as Landlord, instructing </w:t>
            </w:r>
            <w:r>
              <w:rPr>
                <w:sz w:val="24"/>
              </w:rPr>
              <w:t xml:space="preserve">the Council’s </w:t>
            </w:r>
            <w:r w:rsidRPr="003B3211">
              <w:rPr>
                <w:sz w:val="24"/>
              </w:rPr>
              <w:t xml:space="preserve"> Building </w:t>
            </w:r>
            <w:r>
              <w:rPr>
                <w:sz w:val="24"/>
              </w:rPr>
              <w:t>Maintenance</w:t>
            </w:r>
            <w:r w:rsidRPr="003B3211">
              <w:rPr>
                <w:sz w:val="24"/>
              </w:rPr>
              <w:t xml:space="preserve"> </w:t>
            </w:r>
            <w:r>
              <w:rPr>
                <w:sz w:val="24"/>
              </w:rPr>
              <w:t xml:space="preserve">team </w:t>
            </w:r>
            <w:r w:rsidRPr="003B3211">
              <w:rPr>
                <w:sz w:val="24"/>
              </w:rPr>
              <w:t>when necessary and corresponding with the tenants to keep them informed of planned works and arrange inspections of vacant properties on a regular basis.</w:t>
            </w:r>
          </w:p>
          <w:p w14:paraId="441FF960" w14:textId="77777777" w:rsidR="003B3211" w:rsidRDefault="003B3211" w:rsidP="003B3211">
            <w:pPr>
              <w:pStyle w:val="ListParagraph"/>
              <w:rPr>
                <w:sz w:val="24"/>
              </w:rPr>
            </w:pPr>
          </w:p>
          <w:p w14:paraId="4C3FBC19" w14:textId="3CF1E740" w:rsidR="003B3211" w:rsidRPr="003B3211" w:rsidRDefault="003B3211">
            <w:pPr>
              <w:pStyle w:val="TableParagraph"/>
              <w:numPr>
                <w:ilvl w:val="0"/>
                <w:numId w:val="1"/>
              </w:numPr>
              <w:tabs>
                <w:tab w:val="left" w:pos="650"/>
                <w:tab w:val="left" w:pos="651"/>
              </w:tabs>
              <w:spacing w:before="1"/>
              <w:ind w:hanging="361"/>
              <w:rPr>
                <w:sz w:val="24"/>
              </w:rPr>
            </w:pPr>
            <w:r w:rsidRPr="003B3211">
              <w:rPr>
                <w:sz w:val="24"/>
              </w:rPr>
              <w:t>To ensure that all processes are carried out in accordance with current legislation, regulations and Council policy, with particular emphasis on Health &amp; Safety, customer care and data protection</w:t>
            </w:r>
            <w:r w:rsidR="00A45721">
              <w:rPr>
                <w:sz w:val="24"/>
              </w:rPr>
              <w:t xml:space="preserve"> (GDPR).</w:t>
            </w:r>
          </w:p>
          <w:p w14:paraId="5574D79D" w14:textId="77777777" w:rsidR="003B3211" w:rsidRDefault="003B3211" w:rsidP="003B3211">
            <w:pPr>
              <w:pStyle w:val="ListParagraph"/>
              <w:rPr>
                <w:sz w:val="24"/>
              </w:rPr>
            </w:pPr>
          </w:p>
          <w:p w14:paraId="5A56F7FF" w14:textId="179C13A9" w:rsidR="003B3211" w:rsidRDefault="00A45721">
            <w:pPr>
              <w:pStyle w:val="TableParagraph"/>
              <w:numPr>
                <w:ilvl w:val="0"/>
                <w:numId w:val="1"/>
              </w:numPr>
              <w:tabs>
                <w:tab w:val="left" w:pos="650"/>
                <w:tab w:val="left" w:pos="651"/>
              </w:tabs>
              <w:spacing w:before="1"/>
              <w:ind w:hanging="361"/>
              <w:rPr>
                <w:sz w:val="24"/>
              </w:rPr>
            </w:pPr>
            <w:r w:rsidRPr="00A45721">
              <w:rPr>
                <w:sz w:val="24"/>
              </w:rPr>
              <w:t>To undertake training and other duties which are commensurate with the grading and responsibility of the post</w:t>
            </w:r>
            <w:r>
              <w:rPr>
                <w:sz w:val="24"/>
              </w:rPr>
              <w:t>.</w:t>
            </w:r>
          </w:p>
          <w:p w14:paraId="4D71745D" w14:textId="77777777" w:rsidR="00192C39" w:rsidRDefault="00192C39">
            <w:pPr>
              <w:pStyle w:val="TableParagraph"/>
              <w:spacing w:before="10"/>
              <w:rPr>
                <w:b/>
                <w:sz w:val="23"/>
              </w:rPr>
            </w:pPr>
          </w:p>
          <w:p w14:paraId="1F3E4D8E" w14:textId="77777777" w:rsidR="00192C39" w:rsidRDefault="00192C39">
            <w:pPr>
              <w:pStyle w:val="TableParagraph"/>
              <w:rPr>
                <w:b/>
                <w:sz w:val="26"/>
              </w:rPr>
            </w:pPr>
          </w:p>
          <w:p w14:paraId="3431FF3A" w14:textId="77777777" w:rsidR="00192C39" w:rsidRDefault="00C52856">
            <w:pPr>
              <w:pStyle w:val="TableParagraph"/>
              <w:spacing w:before="232"/>
              <w:ind w:left="644" w:right="611" w:hanging="535"/>
              <w:rPr>
                <w:sz w:val="24"/>
              </w:rPr>
            </w:pPr>
            <w:r>
              <w:rPr>
                <w:b/>
                <w:sz w:val="24"/>
              </w:rPr>
              <w:t>NB.</w:t>
            </w:r>
            <w:r>
              <w:rPr>
                <w:b/>
                <w:spacing w:val="40"/>
                <w:sz w:val="24"/>
              </w:rPr>
              <w:t xml:space="preserve"> </w:t>
            </w:r>
            <w:r>
              <w:rPr>
                <w:sz w:val="24"/>
              </w:rPr>
              <w:t>The</w:t>
            </w:r>
            <w:r>
              <w:rPr>
                <w:spacing w:val="-1"/>
                <w:sz w:val="24"/>
              </w:rPr>
              <w:t xml:space="preserve"> </w:t>
            </w:r>
            <w:r>
              <w:rPr>
                <w:sz w:val="24"/>
              </w:rPr>
              <w:t>Council</w:t>
            </w:r>
            <w:r>
              <w:rPr>
                <w:spacing w:val="-3"/>
                <w:sz w:val="24"/>
              </w:rPr>
              <w:t xml:space="preserve"> </w:t>
            </w:r>
            <w:r>
              <w:rPr>
                <w:sz w:val="24"/>
              </w:rPr>
              <w:t>is</w:t>
            </w:r>
            <w:r>
              <w:rPr>
                <w:spacing w:val="-3"/>
                <w:sz w:val="24"/>
              </w:rPr>
              <w:t xml:space="preserve"> </w:t>
            </w:r>
            <w:r>
              <w:rPr>
                <w:sz w:val="24"/>
              </w:rPr>
              <w:t>an</w:t>
            </w:r>
            <w:r>
              <w:rPr>
                <w:spacing w:val="-5"/>
                <w:sz w:val="24"/>
              </w:rPr>
              <w:t xml:space="preserve"> </w:t>
            </w:r>
            <w:r>
              <w:rPr>
                <w:sz w:val="24"/>
              </w:rPr>
              <w:t>equal</w:t>
            </w:r>
            <w:r>
              <w:rPr>
                <w:spacing w:val="-5"/>
                <w:sz w:val="24"/>
              </w:rPr>
              <w:t xml:space="preserve"> </w:t>
            </w:r>
            <w:r>
              <w:rPr>
                <w:sz w:val="24"/>
              </w:rPr>
              <w:t>opportunities</w:t>
            </w:r>
            <w:r>
              <w:rPr>
                <w:spacing w:val="-5"/>
                <w:sz w:val="24"/>
              </w:rPr>
              <w:t xml:space="preserve"> </w:t>
            </w:r>
            <w:r>
              <w:rPr>
                <w:sz w:val="24"/>
              </w:rPr>
              <w:t>employer</w:t>
            </w:r>
            <w:r>
              <w:rPr>
                <w:spacing w:val="-3"/>
                <w:sz w:val="24"/>
              </w:rPr>
              <w:t xml:space="preserve"> </w:t>
            </w:r>
            <w:r>
              <w:rPr>
                <w:sz w:val="24"/>
              </w:rPr>
              <w:t>and</w:t>
            </w:r>
            <w:r>
              <w:rPr>
                <w:spacing w:val="-1"/>
                <w:sz w:val="24"/>
              </w:rPr>
              <w:t xml:space="preserve"> </w:t>
            </w:r>
            <w:r>
              <w:rPr>
                <w:sz w:val="24"/>
              </w:rPr>
              <w:t>provider</w:t>
            </w:r>
            <w:r>
              <w:rPr>
                <w:spacing w:val="-2"/>
                <w:sz w:val="24"/>
              </w:rPr>
              <w:t xml:space="preserve"> </w:t>
            </w:r>
            <w:r>
              <w:rPr>
                <w:sz w:val="24"/>
              </w:rPr>
              <w:t>of</w:t>
            </w:r>
            <w:r>
              <w:rPr>
                <w:spacing w:val="-1"/>
                <w:sz w:val="24"/>
              </w:rPr>
              <w:t xml:space="preserve"> </w:t>
            </w:r>
            <w:r>
              <w:rPr>
                <w:sz w:val="24"/>
              </w:rPr>
              <w:t>services.</w:t>
            </w:r>
            <w:r>
              <w:rPr>
                <w:spacing w:val="40"/>
                <w:sz w:val="24"/>
              </w:rPr>
              <w:t xml:space="preserve"> </w:t>
            </w:r>
            <w:r>
              <w:rPr>
                <w:sz w:val="24"/>
              </w:rPr>
              <w:t>The Council has a statutory duty to promote equality and all employees must be aware of that duty and work to the Council’s equality standards.</w:t>
            </w:r>
          </w:p>
        </w:tc>
      </w:tr>
      <w:tr w:rsidR="00192C39" w14:paraId="3BF2197C" w14:textId="77777777">
        <w:trPr>
          <w:trHeight w:val="460"/>
        </w:trPr>
        <w:tc>
          <w:tcPr>
            <w:tcW w:w="9890" w:type="dxa"/>
          </w:tcPr>
          <w:p w14:paraId="49289F25" w14:textId="77777777" w:rsidR="00192C39" w:rsidRDefault="00C52856">
            <w:pPr>
              <w:pStyle w:val="TableParagraph"/>
              <w:spacing w:line="227" w:lineRule="exact"/>
              <w:ind w:left="110"/>
              <w:rPr>
                <w:sz w:val="20"/>
              </w:rPr>
            </w:pPr>
            <w:r>
              <w:rPr>
                <w:sz w:val="20"/>
              </w:rPr>
              <w:lastRenderedPageBreak/>
              <w:t>In</w:t>
            </w:r>
            <w:r>
              <w:rPr>
                <w:spacing w:val="-6"/>
                <w:sz w:val="20"/>
              </w:rPr>
              <w:t xml:space="preserve"> </w:t>
            </w:r>
            <w:r>
              <w:rPr>
                <w:sz w:val="20"/>
              </w:rPr>
              <w:t>addition,</w:t>
            </w:r>
            <w:r>
              <w:rPr>
                <w:spacing w:val="-5"/>
                <w:sz w:val="20"/>
              </w:rPr>
              <w:t xml:space="preserve"> </w:t>
            </w:r>
            <w:r>
              <w:rPr>
                <w:sz w:val="20"/>
              </w:rPr>
              <w:t>other</w:t>
            </w:r>
            <w:r>
              <w:rPr>
                <w:spacing w:val="-5"/>
                <w:sz w:val="20"/>
              </w:rPr>
              <w:t xml:space="preserve"> </w:t>
            </w:r>
            <w:r>
              <w:rPr>
                <w:sz w:val="20"/>
              </w:rPr>
              <w:t>duties</w:t>
            </w:r>
            <w:r>
              <w:rPr>
                <w:spacing w:val="-3"/>
                <w:sz w:val="20"/>
              </w:rPr>
              <w:t xml:space="preserve"> </w:t>
            </w:r>
            <w:r>
              <w:rPr>
                <w:sz w:val="20"/>
              </w:rPr>
              <w:t>at</w:t>
            </w:r>
            <w:r>
              <w:rPr>
                <w:spacing w:val="-5"/>
                <w:sz w:val="20"/>
              </w:rPr>
              <w:t xml:space="preserve"> </w:t>
            </w:r>
            <w:r>
              <w:rPr>
                <w:sz w:val="20"/>
              </w:rPr>
              <w:t>the</w:t>
            </w:r>
            <w:r>
              <w:rPr>
                <w:spacing w:val="-5"/>
                <w:sz w:val="20"/>
              </w:rPr>
              <w:t xml:space="preserve"> </w:t>
            </w:r>
            <w:r>
              <w:rPr>
                <w:sz w:val="20"/>
              </w:rPr>
              <w:t>same</w:t>
            </w:r>
            <w:r>
              <w:rPr>
                <w:spacing w:val="-5"/>
                <w:sz w:val="20"/>
              </w:rPr>
              <w:t xml:space="preserve"> </w:t>
            </w:r>
            <w:r>
              <w:rPr>
                <w:sz w:val="20"/>
              </w:rPr>
              <w:t>level</w:t>
            </w:r>
            <w:r>
              <w:rPr>
                <w:spacing w:val="-5"/>
                <w:sz w:val="20"/>
              </w:rPr>
              <w:t xml:space="preserve"> </w:t>
            </w:r>
            <w:r>
              <w:rPr>
                <w:sz w:val="20"/>
              </w:rPr>
              <w:t>of</w:t>
            </w:r>
            <w:r>
              <w:rPr>
                <w:spacing w:val="-2"/>
                <w:sz w:val="20"/>
              </w:rPr>
              <w:t xml:space="preserve"> </w:t>
            </w:r>
            <w:r>
              <w:rPr>
                <w:sz w:val="20"/>
              </w:rPr>
              <w:t>responsibility</w:t>
            </w:r>
            <w:r>
              <w:rPr>
                <w:spacing w:val="-8"/>
                <w:sz w:val="20"/>
              </w:rPr>
              <w:t xml:space="preserve"> </w:t>
            </w:r>
            <w:r>
              <w:rPr>
                <w:sz w:val="20"/>
              </w:rPr>
              <w:t>may</w:t>
            </w:r>
            <w:r>
              <w:rPr>
                <w:spacing w:val="-7"/>
                <w:sz w:val="20"/>
              </w:rPr>
              <w:t xml:space="preserve"> </w:t>
            </w:r>
            <w:r>
              <w:rPr>
                <w:sz w:val="20"/>
              </w:rPr>
              <w:t>be</w:t>
            </w:r>
            <w:r>
              <w:rPr>
                <w:spacing w:val="-2"/>
                <w:sz w:val="20"/>
              </w:rPr>
              <w:t xml:space="preserve"> </w:t>
            </w:r>
            <w:r>
              <w:rPr>
                <w:sz w:val="20"/>
              </w:rPr>
              <w:t>allocated</w:t>
            </w:r>
            <w:r>
              <w:rPr>
                <w:spacing w:val="-4"/>
                <w:sz w:val="20"/>
              </w:rPr>
              <w:t xml:space="preserve"> </w:t>
            </w:r>
            <w:r>
              <w:rPr>
                <w:sz w:val="20"/>
              </w:rPr>
              <w:t>at</w:t>
            </w:r>
            <w:r>
              <w:rPr>
                <w:spacing w:val="-4"/>
                <w:sz w:val="20"/>
              </w:rPr>
              <w:t xml:space="preserve"> </w:t>
            </w:r>
            <w:r>
              <w:rPr>
                <w:sz w:val="20"/>
              </w:rPr>
              <w:t>any</w:t>
            </w:r>
            <w:r>
              <w:rPr>
                <w:spacing w:val="-5"/>
                <w:sz w:val="20"/>
              </w:rPr>
              <w:t xml:space="preserve"> </w:t>
            </w:r>
            <w:r>
              <w:rPr>
                <w:spacing w:val="-4"/>
                <w:sz w:val="20"/>
              </w:rPr>
              <w:t>time</w:t>
            </w:r>
          </w:p>
          <w:p w14:paraId="366E2E47" w14:textId="049A4C58" w:rsidR="00192C39" w:rsidRDefault="00102D53" w:rsidP="00102D53">
            <w:pPr>
              <w:pStyle w:val="TableParagraph"/>
              <w:spacing w:line="213" w:lineRule="exact"/>
              <w:jc w:val="right"/>
              <w:rPr>
                <w:sz w:val="20"/>
              </w:rPr>
            </w:pPr>
            <w:r>
              <w:rPr>
                <w:sz w:val="20"/>
              </w:rPr>
              <w:t xml:space="preserve">December 2025 </w:t>
            </w:r>
          </w:p>
        </w:tc>
      </w:tr>
    </w:tbl>
    <w:p w14:paraId="51C86CA8" w14:textId="77777777" w:rsidR="003E0D18" w:rsidRDefault="003E0D18"/>
    <w:sectPr w:rsidR="003E0D18">
      <w:type w:val="continuous"/>
      <w:pgSz w:w="11910" w:h="16840"/>
      <w:pgMar w:top="400" w:right="6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01261"/>
    <w:multiLevelType w:val="hybridMultilevel"/>
    <w:tmpl w:val="AFE6AE9E"/>
    <w:lvl w:ilvl="0" w:tplc="7B3E7EA4">
      <w:numFmt w:val="bullet"/>
      <w:lvlText w:val=""/>
      <w:lvlJc w:val="left"/>
      <w:pPr>
        <w:ind w:left="650" w:hanging="360"/>
      </w:pPr>
      <w:rPr>
        <w:rFonts w:ascii="Symbol" w:eastAsia="Symbol" w:hAnsi="Symbol" w:cs="Symbol" w:hint="default"/>
        <w:b w:val="0"/>
        <w:bCs w:val="0"/>
        <w:i w:val="0"/>
        <w:iCs w:val="0"/>
        <w:w w:val="100"/>
        <w:sz w:val="24"/>
        <w:szCs w:val="24"/>
        <w:lang w:val="en-US" w:eastAsia="en-US" w:bidi="ar-SA"/>
      </w:rPr>
    </w:lvl>
    <w:lvl w:ilvl="1" w:tplc="B890DA24">
      <w:numFmt w:val="bullet"/>
      <w:lvlText w:val="•"/>
      <w:lvlJc w:val="left"/>
      <w:pPr>
        <w:ind w:left="1582" w:hanging="360"/>
      </w:pPr>
      <w:rPr>
        <w:rFonts w:hint="default"/>
        <w:lang w:val="en-US" w:eastAsia="en-US" w:bidi="ar-SA"/>
      </w:rPr>
    </w:lvl>
    <w:lvl w:ilvl="2" w:tplc="47FAB746">
      <w:numFmt w:val="bullet"/>
      <w:lvlText w:val="•"/>
      <w:lvlJc w:val="left"/>
      <w:pPr>
        <w:ind w:left="2504" w:hanging="360"/>
      </w:pPr>
      <w:rPr>
        <w:rFonts w:hint="default"/>
        <w:lang w:val="en-US" w:eastAsia="en-US" w:bidi="ar-SA"/>
      </w:rPr>
    </w:lvl>
    <w:lvl w:ilvl="3" w:tplc="845E6D32">
      <w:numFmt w:val="bullet"/>
      <w:lvlText w:val="•"/>
      <w:lvlJc w:val="left"/>
      <w:pPr>
        <w:ind w:left="3426" w:hanging="360"/>
      </w:pPr>
      <w:rPr>
        <w:rFonts w:hint="default"/>
        <w:lang w:val="en-US" w:eastAsia="en-US" w:bidi="ar-SA"/>
      </w:rPr>
    </w:lvl>
    <w:lvl w:ilvl="4" w:tplc="84346636">
      <w:numFmt w:val="bullet"/>
      <w:lvlText w:val="•"/>
      <w:lvlJc w:val="left"/>
      <w:pPr>
        <w:ind w:left="4348" w:hanging="360"/>
      </w:pPr>
      <w:rPr>
        <w:rFonts w:hint="default"/>
        <w:lang w:val="en-US" w:eastAsia="en-US" w:bidi="ar-SA"/>
      </w:rPr>
    </w:lvl>
    <w:lvl w:ilvl="5" w:tplc="BAFCCC84">
      <w:numFmt w:val="bullet"/>
      <w:lvlText w:val="•"/>
      <w:lvlJc w:val="left"/>
      <w:pPr>
        <w:ind w:left="5270" w:hanging="360"/>
      </w:pPr>
      <w:rPr>
        <w:rFonts w:hint="default"/>
        <w:lang w:val="en-US" w:eastAsia="en-US" w:bidi="ar-SA"/>
      </w:rPr>
    </w:lvl>
    <w:lvl w:ilvl="6" w:tplc="8C7C0EAE">
      <w:numFmt w:val="bullet"/>
      <w:lvlText w:val="•"/>
      <w:lvlJc w:val="left"/>
      <w:pPr>
        <w:ind w:left="6192" w:hanging="360"/>
      </w:pPr>
      <w:rPr>
        <w:rFonts w:hint="default"/>
        <w:lang w:val="en-US" w:eastAsia="en-US" w:bidi="ar-SA"/>
      </w:rPr>
    </w:lvl>
    <w:lvl w:ilvl="7" w:tplc="8616715A">
      <w:numFmt w:val="bullet"/>
      <w:lvlText w:val="•"/>
      <w:lvlJc w:val="left"/>
      <w:pPr>
        <w:ind w:left="7114" w:hanging="360"/>
      </w:pPr>
      <w:rPr>
        <w:rFonts w:hint="default"/>
        <w:lang w:val="en-US" w:eastAsia="en-US" w:bidi="ar-SA"/>
      </w:rPr>
    </w:lvl>
    <w:lvl w:ilvl="8" w:tplc="F20C38AE">
      <w:numFmt w:val="bullet"/>
      <w:lvlText w:val="•"/>
      <w:lvlJc w:val="left"/>
      <w:pPr>
        <w:ind w:left="8036" w:hanging="360"/>
      </w:pPr>
      <w:rPr>
        <w:rFonts w:hint="default"/>
        <w:lang w:val="en-US" w:eastAsia="en-US" w:bidi="ar-SA"/>
      </w:rPr>
    </w:lvl>
  </w:abstractNum>
  <w:abstractNum w:abstractNumId="1" w15:restartNumberingAfterBreak="0">
    <w:nsid w:val="4EB65D0D"/>
    <w:multiLevelType w:val="hybridMultilevel"/>
    <w:tmpl w:val="56185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8087428">
    <w:abstractNumId w:val="0"/>
  </w:num>
  <w:num w:numId="2" w16cid:durableId="16209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9"/>
    <w:rsid w:val="000A7DF5"/>
    <w:rsid w:val="00102D53"/>
    <w:rsid w:val="00192C39"/>
    <w:rsid w:val="00380425"/>
    <w:rsid w:val="0038263C"/>
    <w:rsid w:val="003B3211"/>
    <w:rsid w:val="003E0D18"/>
    <w:rsid w:val="00492883"/>
    <w:rsid w:val="00555958"/>
    <w:rsid w:val="00662992"/>
    <w:rsid w:val="007D178A"/>
    <w:rsid w:val="00A45721"/>
    <w:rsid w:val="00C52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83A2"/>
  <w15:docId w15:val="{2E37213D-43FB-4DA8-9209-3DB331AE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23"/>
      <w:ind w:left="112"/>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5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EAB6A-08B1-453D-870A-5A3B50AE1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F0CA49-566B-411F-8C8A-965120F8C936}">
  <ds:schemaRefs>
    <ds:schemaRef ds:uri="http://schemas.microsoft.com/sharepoint/v3/contenttype/forms"/>
  </ds:schemaRefs>
</ds:datastoreItem>
</file>

<file path=customXml/itemProps3.xml><?xml version="1.0" encoding="utf-8"?>
<ds:datastoreItem xmlns:ds="http://schemas.openxmlformats.org/officeDocument/2006/customXml" ds:itemID="{977BEF6D-0B2B-446D-93C3-9E4E22B99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2656</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Microsoft Word - Management Surveyor JO July 21.docx</vt:lpstr>
    </vt:vector>
  </TitlesOfParts>
  <Company>Preston City Council</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Management Surveyor JO July 21.docx</dc:title>
  <dc:creator>g.knowles</dc:creator>
  <cp:lastModifiedBy>Lauren Massey</cp:lastModifiedBy>
  <cp:revision>2</cp:revision>
  <dcterms:created xsi:type="dcterms:W3CDTF">2025-12-16T14:46:00Z</dcterms:created>
  <dcterms:modified xsi:type="dcterms:W3CDTF">2025-12-16T14:46:00Z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2023-03-08T00:00:00Z</vt:filetime>
  </property>
  <property fmtid="{D5CDD505-2E9C-101B-9397-08002B2CF9AE}" pid="4" name="Producer">
    <vt:lpwstr>Microsoft: Print To PDF</vt:lpwstr>
  </property>
  <property fmtid="{D5CDD505-2E9C-101B-9397-08002B2CF9AE}" pid="5" name="_AdHocReviewCycleID">
    <vt:i4>1523055920</vt:i4>
  </property>
  <property fmtid="{D5CDD505-2E9C-101B-9397-08002B2CF9AE}" pid="6" name="_NewReviewCycle">
    <vt:lpwstr/>
  </property>
  <property fmtid="{D5CDD505-2E9C-101B-9397-08002B2CF9AE}" pid="7" name="_EmailSubject">
    <vt:lpwstr>Estates Surveyor</vt:lpwstr>
  </property>
  <property fmtid="{D5CDD505-2E9C-101B-9397-08002B2CF9AE}" pid="8" name="_AuthorEmail">
    <vt:lpwstr>C.Gaskill@preston.gov.uk</vt:lpwstr>
  </property>
  <property fmtid="{D5CDD505-2E9C-101B-9397-08002B2CF9AE}" pid="9" name="_AuthorEmailDisplayName">
    <vt:lpwstr>Caroline Gaskill</vt:lpwstr>
  </property>
  <property fmtid="{D5CDD505-2E9C-101B-9397-08002B2CF9AE}" pid="10" name="_PreviousAdHocReviewCycleID">
    <vt:i4>468513369</vt:i4>
  </property>
  <property fmtid="{D5CDD505-2E9C-101B-9397-08002B2CF9AE}" pid="11" name="_ReviewingToolsShownOnce">
    <vt:lpwstr/>
  </property>
</Properties>
</file>